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7" w:rsidRPr="00007487" w:rsidRDefault="00007487" w:rsidP="00007487">
      <w:pPr>
        <w:spacing w:after="0"/>
        <w:jc w:val="center"/>
        <w:rPr>
          <w:b/>
          <w:sz w:val="24"/>
          <w:szCs w:val="24"/>
        </w:rPr>
      </w:pPr>
      <w:r w:rsidRPr="00007487">
        <w:rPr>
          <w:b/>
          <w:sz w:val="24"/>
          <w:szCs w:val="24"/>
        </w:rPr>
        <w:t>The Government Accountability Project’s Comments on the</w:t>
      </w:r>
    </w:p>
    <w:p w:rsidR="00007487" w:rsidRPr="00007487" w:rsidRDefault="00007487" w:rsidP="00007487">
      <w:pPr>
        <w:spacing w:after="0"/>
        <w:jc w:val="center"/>
        <w:rPr>
          <w:b/>
          <w:sz w:val="24"/>
          <w:szCs w:val="24"/>
        </w:rPr>
      </w:pPr>
      <w:r w:rsidRPr="00007487">
        <w:rPr>
          <w:b/>
          <w:sz w:val="24"/>
          <w:szCs w:val="24"/>
        </w:rPr>
        <w:t xml:space="preserve">Report on Transparency and Accountability at the United Nations, UN agencies and the </w:t>
      </w:r>
    </w:p>
    <w:p w:rsidR="00007487" w:rsidRPr="00007487" w:rsidRDefault="00007487" w:rsidP="00007487">
      <w:pPr>
        <w:spacing w:after="0"/>
        <w:jc w:val="center"/>
        <w:rPr>
          <w:b/>
          <w:sz w:val="24"/>
          <w:szCs w:val="24"/>
        </w:rPr>
      </w:pPr>
      <w:r w:rsidRPr="00007487">
        <w:rPr>
          <w:b/>
          <w:sz w:val="24"/>
          <w:szCs w:val="24"/>
        </w:rPr>
        <w:t>Organization of American States</w:t>
      </w:r>
    </w:p>
    <w:p w:rsidR="00007487" w:rsidRDefault="00007487" w:rsidP="00007487">
      <w:pPr>
        <w:spacing w:after="0"/>
        <w:jc w:val="center"/>
        <w:rPr>
          <w:b/>
        </w:rPr>
      </w:pPr>
    </w:p>
    <w:p w:rsidR="00007487" w:rsidRDefault="00007487" w:rsidP="00007487">
      <w:pPr>
        <w:spacing w:after="0"/>
        <w:jc w:val="center"/>
      </w:pPr>
      <w:r>
        <w:t>Beatrice Edwards: Senior International Policy Advisor</w:t>
      </w:r>
    </w:p>
    <w:p w:rsidR="00007487" w:rsidRPr="00007487" w:rsidRDefault="00007487" w:rsidP="00007487">
      <w:pPr>
        <w:spacing w:after="0"/>
        <w:jc w:val="center"/>
      </w:pPr>
      <w:bookmarkStart w:id="0" w:name="_GoBack"/>
      <w:bookmarkEnd w:id="0"/>
      <w:r>
        <w:t>August 28, 2017</w:t>
      </w:r>
    </w:p>
    <w:p w:rsidR="00007487" w:rsidRPr="00007487" w:rsidRDefault="00007487" w:rsidP="00007487">
      <w:pPr>
        <w:spacing w:after="0"/>
        <w:jc w:val="center"/>
        <w:rPr>
          <w:b/>
        </w:rPr>
      </w:pPr>
    </w:p>
    <w:p w:rsidR="0068196B" w:rsidRDefault="00007487">
      <w:r>
        <w:t xml:space="preserve">The </w:t>
      </w:r>
      <w:r w:rsidR="0068196B" w:rsidRPr="0032292A">
        <w:t>“Report on Transparency and Accountability at the United Nations,</w:t>
      </w:r>
      <w:r w:rsidR="0068196B">
        <w:t xml:space="preserve"> </w:t>
      </w:r>
      <w:r w:rsidR="008A1878">
        <w:t xml:space="preserve"> </w:t>
      </w:r>
      <w:r w:rsidR="0068196B">
        <w:t>UN agencies and the Organization of American States,” prepared in response to requirements imposed on the Secretary of State by the Department of State, Foreign Operations and Related Programs Appropriations Act, 2017, Division J, P.L. 115-31, Section 7048</w:t>
      </w:r>
      <w:r w:rsidR="006F14DD">
        <w:t>,</w:t>
      </w:r>
      <w:r w:rsidR="0068196B">
        <w:t xml:space="preserve"> is capricious, arbitrary and misleading in its certification </w:t>
      </w:r>
      <w:r w:rsidR="006F14DD">
        <w:t>that</w:t>
      </w:r>
      <w:r w:rsidR="0068196B">
        <w:t xml:space="preserve"> whistleblower protections in place at the agencies covered by the law</w:t>
      </w:r>
      <w:r w:rsidR="006F14DD">
        <w:t xml:space="preserve"> </w:t>
      </w:r>
      <w:r>
        <w:t>comply with best-practice standards</w:t>
      </w:r>
      <w:r w:rsidR="0068196B">
        <w:t>.</w:t>
      </w:r>
    </w:p>
    <w:p w:rsidR="0068196B" w:rsidRDefault="0068196B" w:rsidP="0068196B">
      <w:r>
        <w:t>The law in question is explicit: section 7048 of the FY2017 Consolidated Appropriations Act reads in part:</w:t>
      </w:r>
    </w:p>
    <w:p w:rsidR="0068196B" w:rsidRPr="00FF4C70" w:rsidRDefault="0068196B" w:rsidP="0068196B">
      <w:pPr>
        <w:spacing w:after="0" w:line="240" w:lineRule="auto"/>
        <w:ind w:left="720"/>
        <w:rPr>
          <w:i/>
        </w:rPr>
      </w:pPr>
      <w:r w:rsidRPr="00FF4C70">
        <w:rPr>
          <w:i/>
        </w:rPr>
        <w:t xml:space="preserve">        (1) Of the funds appropriated under title I and under the </w:t>
      </w:r>
    </w:p>
    <w:p w:rsidR="0068196B" w:rsidRPr="00FF4C70" w:rsidRDefault="0068196B" w:rsidP="0068196B">
      <w:pPr>
        <w:spacing w:after="0" w:line="240" w:lineRule="auto"/>
        <w:ind w:left="720"/>
        <w:rPr>
          <w:i/>
        </w:rPr>
      </w:pPr>
      <w:r w:rsidRPr="00FF4C70">
        <w:rPr>
          <w:i/>
        </w:rPr>
        <w:t xml:space="preserve">    heading ``International Organizations and Programs'' in title V of </w:t>
      </w:r>
    </w:p>
    <w:p w:rsidR="0068196B" w:rsidRPr="00FF4C70" w:rsidRDefault="0068196B" w:rsidP="0068196B">
      <w:pPr>
        <w:spacing w:after="0" w:line="240" w:lineRule="auto"/>
        <w:ind w:left="720"/>
        <w:rPr>
          <w:i/>
        </w:rPr>
      </w:pPr>
      <w:r w:rsidRPr="00FF4C70">
        <w:rPr>
          <w:i/>
        </w:rPr>
        <w:t xml:space="preserve">    this Act that are available for contributions to the United </w:t>
      </w:r>
    </w:p>
    <w:p w:rsidR="0068196B" w:rsidRPr="00FF4C70" w:rsidRDefault="0068196B" w:rsidP="0068196B">
      <w:pPr>
        <w:spacing w:after="0" w:line="240" w:lineRule="auto"/>
        <w:ind w:left="720"/>
        <w:rPr>
          <w:i/>
        </w:rPr>
      </w:pPr>
      <w:r w:rsidRPr="00FF4C70">
        <w:rPr>
          <w:i/>
        </w:rPr>
        <w:t xml:space="preserve">    Nations, any United Nations agency, or the Organization of American </w:t>
      </w:r>
    </w:p>
    <w:p w:rsidR="0068196B" w:rsidRPr="00FF4C70" w:rsidRDefault="0068196B" w:rsidP="0068196B">
      <w:pPr>
        <w:spacing w:after="0" w:line="240" w:lineRule="auto"/>
        <w:ind w:left="720"/>
        <w:rPr>
          <w:i/>
        </w:rPr>
      </w:pPr>
      <w:r w:rsidRPr="00FF4C70">
        <w:rPr>
          <w:i/>
        </w:rPr>
        <w:t xml:space="preserve">    States, 15 percent may not be obligated for such organization or </w:t>
      </w:r>
    </w:p>
    <w:p w:rsidR="0068196B" w:rsidRPr="00FF4C70" w:rsidRDefault="0068196B" w:rsidP="0068196B">
      <w:pPr>
        <w:spacing w:after="0" w:line="240" w:lineRule="auto"/>
        <w:ind w:left="720"/>
        <w:rPr>
          <w:i/>
        </w:rPr>
      </w:pPr>
      <w:r w:rsidRPr="00FF4C70">
        <w:rPr>
          <w:i/>
        </w:rPr>
        <w:t xml:space="preserve">    agency until the Secretary of State reports to the Committees on </w:t>
      </w:r>
    </w:p>
    <w:p w:rsidR="0068196B" w:rsidRPr="00FF4C70" w:rsidRDefault="0068196B" w:rsidP="0068196B">
      <w:pPr>
        <w:spacing w:after="0" w:line="240" w:lineRule="auto"/>
        <w:ind w:left="720"/>
        <w:rPr>
          <w:i/>
        </w:rPr>
      </w:pPr>
      <w:r w:rsidRPr="00FF4C70">
        <w:rPr>
          <w:i/>
        </w:rPr>
        <w:t xml:space="preserve">    Appropriations that the organization or agency is…</w:t>
      </w:r>
    </w:p>
    <w:p w:rsidR="00007487" w:rsidRDefault="00007487" w:rsidP="0068196B">
      <w:pPr>
        <w:spacing w:after="0" w:line="240" w:lineRule="auto"/>
        <w:ind w:left="720"/>
        <w:rPr>
          <w:i/>
        </w:rPr>
      </w:pPr>
    </w:p>
    <w:p w:rsidR="0068196B" w:rsidRPr="00FF4C70" w:rsidRDefault="0068196B" w:rsidP="0068196B">
      <w:pPr>
        <w:spacing w:after="0" w:line="240" w:lineRule="auto"/>
        <w:ind w:left="720"/>
        <w:rPr>
          <w:i/>
        </w:rPr>
      </w:pPr>
      <w:r w:rsidRPr="00FF4C70">
        <w:rPr>
          <w:i/>
        </w:rPr>
        <w:t xml:space="preserve">(B) implementing best practices for the protection of </w:t>
      </w:r>
    </w:p>
    <w:p w:rsidR="0068196B" w:rsidRPr="00FF4C70" w:rsidRDefault="0068196B" w:rsidP="0068196B">
      <w:pPr>
        <w:spacing w:after="0" w:line="240" w:lineRule="auto"/>
        <w:ind w:left="720"/>
        <w:rPr>
          <w:i/>
        </w:rPr>
      </w:pPr>
      <w:r w:rsidRPr="00FF4C70">
        <w:rPr>
          <w:i/>
        </w:rPr>
        <w:t xml:space="preserve">        whistleblowers from retaliation, including best practices for--</w:t>
      </w:r>
    </w:p>
    <w:p w:rsidR="0068196B" w:rsidRPr="00FF4C70" w:rsidRDefault="0068196B" w:rsidP="0068196B">
      <w:pPr>
        <w:spacing w:after="0" w:line="240" w:lineRule="auto"/>
        <w:ind w:left="720"/>
        <w:rPr>
          <w:i/>
        </w:rPr>
      </w:pPr>
      <w:r w:rsidRPr="00FF4C70">
        <w:rPr>
          <w:i/>
        </w:rPr>
        <w:t xml:space="preserve">                (i) protection against retaliation for internal and </w:t>
      </w:r>
    </w:p>
    <w:p w:rsidR="0068196B" w:rsidRPr="00FF4C70" w:rsidRDefault="0068196B" w:rsidP="0068196B">
      <w:pPr>
        <w:spacing w:after="0" w:line="240" w:lineRule="auto"/>
        <w:ind w:left="720"/>
        <w:rPr>
          <w:i/>
        </w:rPr>
      </w:pPr>
      <w:r w:rsidRPr="00FF4C70">
        <w:rPr>
          <w:i/>
        </w:rPr>
        <w:t xml:space="preserve">            lawful public disclosures;</w:t>
      </w:r>
    </w:p>
    <w:p w:rsidR="0068196B" w:rsidRPr="00FF4C70" w:rsidRDefault="0068196B" w:rsidP="0068196B">
      <w:pPr>
        <w:spacing w:after="0" w:line="240" w:lineRule="auto"/>
        <w:ind w:left="720"/>
        <w:rPr>
          <w:i/>
        </w:rPr>
      </w:pPr>
      <w:r w:rsidRPr="00FF4C70">
        <w:rPr>
          <w:i/>
        </w:rPr>
        <w:t xml:space="preserve">                (ii) legal burdens of proof;</w:t>
      </w:r>
    </w:p>
    <w:p w:rsidR="0068196B" w:rsidRDefault="0068196B" w:rsidP="0068196B">
      <w:pPr>
        <w:spacing w:after="0" w:line="240" w:lineRule="auto"/>
        <w:ind w:left="720"/>
        <w:rPr>
          <w:i/>
        </w:rPr>
      </w:pPr>
      <w:r w:rsidRPr="00FF4C70">
        <w:rPr>
          <w:i/>
        </w:rPr>
        <w:t xml:space="preserve">                (iii) statutes of limitation for reporting retaliation;</w:t>
      </w:r>
    </w:p>
    <w:p w:rsidR="0068196B" w:rsidRPr="00FF4C70" w:rsidRDefault="0068196B" w:rsidP="0068196B">
      <w:pPr>
        <w:spacing w:after="0" w:line="240" w:lineRule="auto"/>
        <w:ind w:left="1440"/>
        <w:rPr>
          <w:i/>
        </w:rPr>
      </w:pPr>
      <w:r w:rsidRPr="00FF4C70">
        <w:rPr>
          <w:i/>
        </w:rPr>
        <w:t xml:space="preserve">(iv) access to independent adjudicative bodies, </w:t>
      </w:r>
    </w:p>
    <w:p w:rsidR="0068196B" w:rsidRPr="00FF4C70" w:rsidRDefault="0068196B" w:rsidP="0068196B">
      <w:pPr>
        <w:spacing w:after="0" w:line="240" w:lineRule="auto"/>
        <w:ind w:left="720"/>
        <w:rPr>
          <w:i/>
        </w:rPr>
      </w:pPr>
      <w:r w:rsidRPr="00FF4C70">
        <w:rPr>
          <w:i/>
        </w:rPr>
        <w:t xml:space="preserve">            including external arbitration; and</w:t>
      </w:r>
    </w:p>
    <w:p w:rsidR="0068196B" w:rsidRPr="00FF4C70" w:rsidRDefault="0068196B" w:rsidP="0068196B">
      <w:pPr>
        <w:spacing w:after="0" w:line="240" w:lineRule="auto"/>
        <w:ind w:left="720"/>
        <w:rPr>
          <w:i/>
        </w:rPr>
      </w:pPr>
      <w:r w:rsidRPr="00FF4C70">
        <w:rPr>
          <w:i/>
        </w:rPr>
        <w:t xml:space="preserve">                (v) results that eliminate the effects of proven </w:t>
      </w:r>
    </w:p>
    <w:p w:rsidR="0068196B" w:rsidRPr="00FF4C70" w:rsidRDefault="0068196B" w:rsidP="0068196B">
      <w:pPr>
        <w:spacing w:after="0" w:line="240" w:lineRule="auto"/>
        <w:ind w:left="720"/>
        <w:rPr>
          <w:i/>
        </w:rPr>
      </w:pPr>
      <w:r w:rsidRPr="00FF4C70">
        <w:rPr>
          <w:i/>
        </w:rPr>
        <w:t xml:space="preserve">            retaliation.</w:t>
      </w:r>
    </w:p>
    <w:p w:rsidR="0068196B" w:rsidRPr="00FF4C70" w:rsidRDefault="0068196B" w:rsidP="0068196B">
      <w:pPr>
        <w:spacing w:after="0" w:line="240" w:lineRule="auto"/>
        <w:ind w:left="720"/>
        <w:rPr>
          <w:i/>
        </w:rPr>
      </w:pPr>
    </w:p>
    <w:p w:rsidR="00DB70D8" w:rsidRDefault="0068196B">
      <w:r>
        <w:t>For the past three years, t</w:t>
      </w:r>
      <w:r w:rsidR="00DB70D8">
        <w:t xml:space="preserve">he Government Accountability Project (GAP) </w:t>
      </w:r>
      <w:r>
        <w:t>has provided comments</w:t>
      </w:r>
      <w:r w:rsidR="00DB70D8">
        <w:t xml:space="preserve"> on the State Department’s certification report</w:t>
      </w:r>
      <w:r>
        <w:t>.</w:t>
      </w:r>
      <w:r w:rsidR="00DB70D8">
        <w:t xml:space="preserve">  In those comments, GAP </w:t>
      </w:r>
      <w:r>
        <w:t>cited rulings of the United Nations Appeals Tribunal handed down in 2014 and 2015 (</w:t>
      </w:r>
      <w:r w:rsidRPr="00F503D1">
        <w:rPr>
          <w:i/>
        </w:rPr>
        <w:t>Wasserstrom vs. The Secretary General; Postica, Nguyen-Kropp vs. The Secretary General</w:t>
      </w:r>
      <w:r>
        <w:t xml:space="preserve">) </w:t>
      </w:r>
      <w:r w:rsidR="00DB70D8">
        <w:t xml:space="preserve">that </w:t>
      </w:r>
      <w:r>
        <w:t>exclude</w:t>
      </w:r>
      <w:r w:rsidR="00DB70D8">
        <w:t xml:space="preserve"> whistleblowers who allege retaliation at the United Nations Secretariat from the formal j</w:t>
      </w:r>
      <w:r w:rsidR="00446375">
        <w:t>udicial system</w:t>
      </w:r>
      <w:r w:rsidR="00F503D1">
        <w:t xml:space="preserve">.  This exclusion represents policies and practices that do not meet the </w:t>
      </w:r>
      <w:r w:rsidR="00007487">
        <w:t xml:space="preserve">best-practice </w:t>
      </w:r>
      <w:r w:rsidR="00F503D1">
        <w:t>standard</w:t>
      </w:r>
      <w:r w:rsidR="00007487">
        <w:t>s</w:t>
      </w:r>
      <w:r w:rsidR="00F503D1">
        <w:t xml:space="preserve"> </w:t>
      </w:r>
      <w:r w:rsidR="00007487">
        <w:t xml:space="preserve">for certification by the Secretary of State in compliance with </w:t>
      </w:r>
      <w:r w:rsidR="00F503D1">
        <w:t>Sec. 7048 (1) (B) (iv and v).</w:t>
      </w:r>
      <w:r w:rsidR="00446375">
        <w:rPr>
          <w:rStyle w:val="FootnoteReference"/>
        </w:rPr>
        <w:footnoteReference w:id="1"/>
      </w:r>
    </w:p>
    <w:p w:rsidR="007A2E5C" w:rsidRDefault="00F503D1">
      <w:r>
        <w:lastRenderedPageBreak/>
        <w:t xml:space="preserve">The exclusion leaves whistleblowers who allege retaliation at the Secretariat subject to the determinations of the UN Ethics Office regarding the merit of their complaints.  The Ethics Office is </w:t>
      </w:r>
      <w:r w:rsidR="00E548DE">
        <w:t xml:space="preserve">neither an </w:t>
      </w:r>
      <w:r>
        <w:t xml:space="preserve">independent </w:t>
      </w:r>
      <w:r w:rsidR="00E548DE">
        <w:t xml:space="preserve">nor an </w:t>
      </w:r>
      <w:r>
        <w:t>adjudicative body, in the</w:t>
      </w:r>
      <w:r w:rsidR="00E548DE">
        <w:t xml:space="preserve"> generally-accepted sense of either</w:t>
      </w:r>
      <w:r>
        <w:t xml:space="preserve"> term.  The Director of the Ethics Office is authorized only to make recommendations to the Secretary General regarding whistleblower allegations.</w:t>
      </w:r>
      <w:r w:rsidR="00DA2612">
        <w:rPr>
          <w:rStyle w:val="FootnoteReference"/>
        </w:rPr>
        <w:footnoteReference w:id="2"/>
      </w:r>
      <w:r>
        <w:t xml:space="preserve">  The Office lacks the authority to make an administrative decision in such cases</w:t>
      </w:r>
      <w:r w:rsidR="00007487">
        <w:t>, and therefore cannot operate</w:t>
      </w:r>
      <w:r>
        <w:t xml:space="preserve"> independently.  </w:t>
      </w:r>
    </w:p>
    <w:p w:rsidR="00DB70D8" w:rsidRDefault="00C31B4F">
      <w:r>
        <w:t>Further, f</w:t>
      </w:r>
      <w:r w:rsidR="00446375">
        <w:t>or the pas</w:t>
      </w:r>
      <w:r>
        <w:t>t three</w:t>
      </w:r>
      <w:r w:rsidR="00446375">
        <w:t xml:space="preserve"> years, </w:t>
      </w:r>
      <w:r>
        <w:t xml:space="preserve">whistleblowers’ exclusion from access to an independent adjudicative forum </w:t>
      </w:r>
      <w:r w:rsidR="00446375">
        <w:t xml:space="preserve">has </w:t>
      </w:r>
      <w:r>
        <w:t>gone</w:t>
      </w:r>
      <w:r w:rsidR="00446375">
        <w:t xml:space="preserve"> un-remedied at the Secretariat.  Despite the adoption of an updated whistleblower protection policy (SGB/2017/2) in January, 2017 by Secretary General Antonio Guterres, the </w:t>
      </w:r>
      <w:r>
        <w:t xml:space="preserve">shortcoming </w:t>
      </w:r>
      <w:r w:rsidR="00446375">
        <w:t>remains largely unaddressed.</w:t>
      </w:r>
    </w:p>
    <w:p w:rsidR="00DB70D8" w:rsidRDefault="007A2E5C">
      <w:r>
        <w:t>Under Sec. 10</w:t>
      </w:r>
      <w:r w:rsidR="00446375">
        <w:t>, SGB/2017/2</w:t>
      </w:r>
      <w:r w:rsidR="006163B8">
        <w:t>,</w:t>
      </w:r>
      <w:r w:rsidR="00446375">
        <w:t xml:space="preserve"> whistleblowers whose allegations are determined by the Ethics Office to include </w:t>
      </w:r>
      <w:r w:rsidR="00446375" w:rsidRPr="00BD5404">
        <w:rPr>
          <w:i/>
        </w:rPr>
        <w:t>prima facie</w:t>
      </w:r>
      <w:r w:rsidR="00446375">
        <w:t xml:space="preserve"> evidence of retaliation and are referred for full investigati</w:t>
      </w:r>
      <w:r w:rsidR="00C31B4F">
        <w:t>on may now appeal to the formal judicial system for relief</w:t>
      </w:r>
      <w:r w:rsidR="00446375">
        <w:t xml:space="preserve"> if the investigation carried out fails to validate their claim</w:t>
      </w:r>
      <w:r w:rsidR="006163B8">
        <w:t>s</w:t>
      </w:r>
      <w:r w:rsidR="00007487">
        <w:t>, or if</w:t>
      </w:r>
      <w:r w:rsidR="00BD5404">
        <w:t xml:space="preserve"> the Secretary General fails to act on a recommendation </w:t>
      </w:r>
      <w:r w:rsidR="00C31B4F">
        <w:t xml:space="preserve">from the Ethics Office </w:t>
      </w:r>
      <w:r w:rsidR="00BD5404">
        <w:t>regarding their claims</w:t>
      </w:r>
      <w:r w:rsidR="00E548DE">
        <w:t>. F</w:t>
      </w:r>
      <w:r w:rsidR="00446375">
        <w:t>igures provided by the UN Ethics Office</w:t>
      </w:r>
      <w:r w:rsidR="00E548DE">
        <w:t>, however,</w:t>
      </w:r>
      <w:r w:rsidR="00446375">
        <w:t xml:space="preserve"> show that in the year under review, 6 cases of 25 were referred for investigation</w:t>
      </w:r>
      <w:r>
        <w:t xml:space="preserve">. </w:t>
      </w:r>
      <w:r w:rsidR="00446375">
        <w:t xml:space="preserve">For the current year, then, </w:t>
      </w:r>
      <w:r w:rsidR="00C31B4F">
        <w:t xml:space="preserve">with the new policy in place, </w:t>
      </w:r>
      <w:r w:rsidR="00DB70D8">
        <w:t xml:space="preserve">under 25 percent of whistleblowers </w:t>
      </w:r>
      <w:r w:rsidR="00D65CD0">
        <w:t>who allege</w:t>
      </w:r>
      <w:r w:rsidR="00C31B4F">
        <w:t>d</w:t>
      </w:r>
      <w:r w:rsidR="00D65CD0">
        <w:t xml:space="preserve"> retaliation </w:t>
      </w:r>
      <w:r w:rsidR="00BD5404">
        <w:t xml:space="preserve">could </w:t>
      </w:r>
      <w:r w:rsidR="00DB70D8">
        <w:t>acc</w:t>
      </w:r>
      <w:r w:rsidR="00C31B4F">
        <w:t>ess a</w:t>
      </w:r>
      <w:r w:rsidR="006163B8">
        <w:t xml:space="preserve"> formal judicial forum</w:t>
      </w:r>
      <w:r w:rsidR="00BD5404">
        <w:t xml:space="preserve">, should they </w:t>
      </w:r>
      <w:r w:rsidR="00E548DE">
        <w:t>have chosen</w:t>
      </w:r>
      <w:r w:rsidR="00BD5404">
        <w:t xml:space="preserve"> to do so</w:t>
      </w:r>
      <w:r w:rsidR="00446375">
        <w:t>.</w:t>
      </w:r>
      <w:r>
        <w:rPr>
          <w:rStyle w:val="FootnoteReference"/>
        </w:rPr>
        <w:footnoteReference w:id="3"/>
      </w:r>
      <w:r w:rsidR="00446375">
        <w:t xml:space="preserve">  This </w:t>
      </w:r>
      <w:r w:rsidR="006163B8">
        <w:t xml:space="preserve">record </w:t>
      </w:r>
      <w:r w:rsidR="00DB70D8">
        <w:t xml:space="preserve">is presented as an improvement over the practices implemented between 2014 and 2016, when no </w:t>
      </w:r>
      <w:r w:rsidR="00D65CD0">
        <w:t>such allegation</w:t>
      </w:r>
      <w:r w:rsidR="00DB70D8">
        <w:t xml:space="preserve"> was a</w:t>
      </w:r>
      <w:r w:rsidR="00C31B4F">
        <w:t>dmissible for consideration by</w:t>
      </w:r>
      <w:r w:rsidR="00D65CD0">
        <w:t xml:space="preserve"> the formal justice system.</w:t>
      </w:r>
      <w:r w:rsidR="00DB70D8">
        <w:t xml:space="preserve"> </w:t>
      </w:r>
      <w:r>
        <w:t xml:space="preserve">Nevertheless, </w:t>
      </w:r>
      <w:r w:rsidR="00E548DE">
        <w:t xml:space="preserve">more than 75 percent of whistleblowers who seek protection from retaliation in their appeals to the Ethics Office </w:t>
      </w:r>
      <w:r>
        <w:t xml:space="preserve">remain without </w:t>
      </w:r>
      <w:r w:rsidR="00E548DE">
        <w:t>access to judicial relief.  The</w:t>
      </w:r>
      <w:r w:rsidR="006163B8">
        <w:t xml:space="preserve"> restrictive application of the reform </w:t>
      </w:r>
      <w:r w:rsidR="00E548DE">
        <w:t xml:space="preserve">set out in SGB/2017/2 </w:t>
      </w:r>
      <w:r w:rsidR="006163B8">
        <w:t xml:space="preserve">leaves the legal deficit </w:t>
      </w:r>
      <w:r w:rsidR="00BD5404">
        <w:t xml:space="preserve">largely </w:t>
      </w:r>
      <w:r w:rsidR="006163B8">
        <w:t>un-remedied.</w:t>
      </w:r>
      <w:r w:rsidR="006163B8">
        <w:rPr>
          <w:rStyle w:val="FootnoteReference"/>
        </w:rPr>
        <w:footnoteReference w:id="4"/>
      </w:r>
    </w:p>
    <w:p w:rsidR="006163B8" w:rsidRDefault="006163B8">
      <w:r>
        <w:t>M</w:t>
      </w:r>
      <w:r w:rsidR="00E548DE">
        <w:t>oreover, as previously noted</w:t>
      </w:r>
      <w:r>
        <w:t xml:space="preserve">, one of the </w:t>
      </w:r>
      <w:r w:rsidR="00BD5404">
        <w:t xml:space="preserve">landmark </w:t>
      </w:r>
      <w:r>
        <w:t xml:space="preserve">cases dismissed </w:t>
      </w:r>
      <w:r w:rsidR="00D65CD0">
        <w:t xml:space="preserve">as unreceivable </w:t>
      </w:r>
      <w:r>
        <w:t xml:space="preserve">by </w:t>
      </w:r>
      <w:r w:rsidR="00D65CD0">
        <w:t xml:space="preserve">the UN Appeals Tribunal (UNAT) </w:t>
      </w:r>
      <w:r>
        <w:t xml:space="preserve">in 2015 </w:t>
      </w:r>
      <w:r w:rsidR="00C31B4F" w:rsidRPr="00C31B4F">
        <w:rPr>
          <w:i/>
        </w:rPr>
        <w:t>(Postica, Nguyen-Kropp vs. The Secretary General</w:t>
      </w:r>
      <w:r w:rsidR="00C31B4F">
        <w:t xml:space="preserve">) </w:t>
      </w:r>
      <w:r>
        <w:t>involve</w:t>
      </w:r>
      <w:r w:rsidR="00BD5404">
        <w:t>s</w:t>
      </w:r>
      <w:r>
        <w:t xml:space="preserve"> two investigators in the oversight division of the Secretariat: the Office of Internal Oversight Services (OIOS).  The investigators had established in the lower level tribunal that</w:t>
      </w:r>
      <w:r w:rsidR="00C31B4F">
        <w:t>,</w:t>
      </w:r>
      <w:r>
        <w:t xml:space="preserve"> after reporting their supervisor for improper handling of a misconduct disclosure, they were subjected to a retaliatory investigation.  The UN Dispute Tribunal validated their claim and awarded compensation. In other words, the facts of the case appealed by the Secretary General to the UNAT are undisputed</w:t>
      </w:r>
      <w:r w:rsidR="001430AD">
        <w:t xml:space="preserve"> –only the receivability of the complaint was contested.</w:t>
      </w:r>
    </w:p>
    <w:p w:rsidR="00C31B4F" w:rsidRDefault="00C31B4F">
      <w:r>
        <w:t xml:space="preserve">In this case, the Secretary General availed himself of the exclusion of whistleblowers from access to the formal judicial system to annul a ruling that sought to eliminate the effects of retaliation, </w:t>
      </w:r>
      <w:r w:rsidR="00E548DE">
        <w:t xml:space="preserve">one of the </w:t>
      </w:r>
      <w:r w:rsidR="00E548DE">
        <w:lastRenderedPageBreak/>
        <w:t xml:space="preserve">provisions required for the Secretary of State to certify that the United Nations meets </w:t>
      </w:r>
      <w:r>
        <w:t>best-practice sta</w:t>
      </w:r>
      <w:r w:rsidR="00E548DE">
        <w:t>ndards for protecting whistleblowers</w:t>
      </w:r>
      <w:r>
        <w:t>.</w:t>
      </w:r>
      <w:r>
        <w:rPr>
          <w:rStyle w:val="FootnoteReference"/>
        </w:rPr>
        <w:footnoteReference w:id="5"/>
      </w:r>
    </w:p>
    <w:p w:rsidR="00D96B7F" w:rsidRDefault="001430AD">
      <w:r>
        <w:t xml:space="preserve">In dismissing the case, the UNAT not only left the whistleblowing investigators exposed to continuing retaliation, but also failed to remove a compromised supervisor from a position of authority over many other investigations.  For the past two years, the US State Department has accepted this </w:t>
      </w:r>
      <w:r w:rsidR="00007487">
        <w:t>circumstance</w:t>
      </w:r>
      <w:r>
        <w:t xml:space="preserve"> in the Secretariat’s ov</w:t>
      </w:r>
      <w:r w:rsidR="00D96B7F">
        <w:t>ersight office, and approved it, despite the requirements of US law.</w:t>
      </w:r>
    </w:p>
    <w:p w:rsidR="001430AD" w:rsidRDefault="001430AD">
      <w:r>
        <w:t>In recent years, serious abuse and accountability problems have surfaced in the Office of the High Commis</w:t>
      </w:r>
      <w:r w:rsidR="00D96B7F">
        <w:t>sioner for Human Rights (OHCHR), a division of the Secretariat.</w:t>
      </w:r>
      <w:r>
        <w:t xml:space="preserve">  GAP represents two of three whistleblowers at the OHCHR, and represented the third until he departed the UN system under duress.</w:t>
      </w:r>
      <w:r w:rsidR="001041A2">
        <w:t xml:space="preserve">  Two of these whistleblowers reported child sexual abuse by peacekeepers in the Central African Republic</w:t>
      </w:r>
      <w:r w:rsidR="00AE26D1">
        <w:t xml:space="preserve"> (CAR)</w:t>
      </w:r>
      <w:r w:rsidR="00A77327">
        <w:t>, operating under UN Security Council mandate</w:t>
      </w:r>
      <w:r w:rsidR="001041A2">
        <w:t>.</w:t>
      </w:r>
    </w:p>
    <w:p w:rsidR="001041A2" w:rsidRDefault="00F7368A">
      <w:r>
        <w:t>The case of the</w:t>
      </w:r>
      <w:r w:rsidR="001430AD">
        <w:t xml:space="preserve"> third whist</w:t>
      </w:r>
      <w:r w:rsidR="00D96B7F">
        <w:t>leblower was so poorly handled</w:t>
      </w:r>
      <w:r w:rsidR="001430AD">
        <w:t xml:space="preserve"> by the OHCHR and the OIOS, </w:t>
      </w:r>
      <w:r w:rsidR="00690C2D">
        <w:t xml:space="preserve">and the nature of the misconduct he disclosed was so heinous, </w:t>
      </w:r>
      <w:r w:rsidR="001430AD">
        <w:t xml:space="preserve">that the Secretary General </w:t>
      </w:r>
      <w:r w:rsidR="00D96B7F">
        <w:t xml:space="preserve">faced </w:t>
      </w:r>
      <w:r w:rsidR="00AE26D1">
        <w:t>serious and widespread public</w:t>
      </w:r>
      <w:r w:rsidR="00D96B7F">
        <w:t xml:space="preserve"> </w:t>
      </w:r>
      <w:r w:rsidR="00AE26D1">
        <w:t>criticism.  In failing to support the staff member who disclosed the sexual abuse of children in the CAR, he</w:t>
      </w:r>
      <w:r w:rsidR="00D96B7F">
        <w:t xml:space="preserve"> exposed the Organization to incalculable reputational damage.  Ultimately he </w:t>
      </w:r>
      <w:r w:rsidR="001430AD">
        <w:t>was obliged to convene a Panel of Independent Experts to review the case.</w:t>
      </w:r>
      <w:r w:rsidR="00BD5404">
        <w:t xml:space="preserve">  The Panel </w:t>
      </w:r>
      <w:r w:rsidR="001430AD">
        <w:t>vindicated the whistleblower, Anders Kompass</w:t>
      </w:r>
      <w:r w:rsidR="006F1C41">
        <w:t xml:space="preserve">.  </w:t>
      </w:r>
    </w:p>
    <w:p w:rsidR="001430AD" w:rsidRDefault="006F1C41">
      <w:r>
        <w:t xml:space="preserve">The Panel also exposed the closed-door collaboration </w:t>
      </w:r>
      <w:r w:rsidR="00D65CD0">
        <w:t>among</w:t>
      </w:r>
      <w:r>
        <w:t xml:space="preserve"> the </w:t>
      </w:r>
      <w:r w:rsidR="00690C2D">
        <w:t xml:space="preserve">High Commissioner for Human Rights, the </w:t>
      </w:r>
      <w:r>
        <w:t>Executive Office of the Secretary General, the Under-Secretary for OIOS, and the Director of the Ethics Officer</w:t>
      </w:r>
      <w:r w:rsidR="00690C2D">
        <w:t xml:space="preserve"> in retaliating against </w:t>
      </w:r>
      <w:r w:rsidR="00AE26D1">
        <w:t>Kompass</w:t>
      </w:r>
      <w:r>
        <w:t>.</w:t>
      </w:r>
      <w:r>
        <w:rPr>
          <w:rStyle w:val="FootnoteReference"/>
        </w:rPr>
        <w:footnoteReference w:id="6"/>
      </w:r>
      <w:r w:rsidR="001430AD">
        <w:t xml:space="preserve"> </w:t>
      </w:r>
      <w:r w:rsidR="0044504B">
        <w:t xml:space="preserve">The second whistleblower, Miranda Brown, reported to the US Government the child sexual abuse allegations and abuse of authority by the UN leadership. The same Director of the Ethics </w:t>
      </w:r>
      <w:r w:rsidR="00A77327">
        <w:t>Office</w:t>
      </w:r>
      <w:r w:rsidR="0044504B">
        <w:t xml:space="preserve"> singled out for criticism by the Panel, determined Brown’s fate and denied her protection.</w:t>
      </w:r>
    </w:p>
    <w:p w:rsidR="0044504B" w:rsidRDefault="006F1C41" w:rsidP="0044504B">
      <w:r>
        <w:t xml:space="preserve">The exposure of this </w:t>
      </w:r>
      <w:r w:rsidR="00D96B7F">
        <w:t xml:space="preserve">structural and practical </w:t>
      </w:r>
      <w:r>
        <w:t xml:space="preserve">lack of independence in the Ethics </w:t>
      </w:r>
      <w:r w:rsidR="0044504B">
        <w:t>Office has not been</w:t>
      </w:r>
      <w:r>
        <w:t xml:space="preserve"> addressed by the Secretariat in the years since it </w:t>
      </w:r>
      <w:r w:rsidR="00AE26D1">
        <w:t>came to light</w:t>
      </w:r>
      <w:r>
        <w:t xml:space="preserve">.  On the contrary, the Secretary General’s Chief of Staff resigned her UN post </w:t>
      </w:r>
      <w:r w:rsidR="00D96B7F">
        <w:t xml:space="preserve">without reprimand </w:t>
      </w:r>
      <w:r>
        <w:t>to accept an appointment as Foreign Minister in her country of origin</w:t>
      </w:r>
      <w:r w:rsidR="00690C2D">
        <w:t>.  From there, she campaigned for the post of Secretary General.  The High Commissioner for Human Rights remains in place,</w:t>
      </w:r>
      <w:r>
        <w:t xml:space="preserve"> and both the USG for OIOS and the Director of the UN Ethics Office retired </w:t>
      </w:r>
      <w:r w:rsidR="00690C2D">
        <w:t xml:space="preserve">as they had anticipated </w:t>
      </w:r>
      <w:r>
        <w:t>with full benefits</w:t>
      </w:r>
      <w:r w:rsidR="0044504B">
        <w:t>, despite the criticisms of the Panel.</w:t>
      </w:r>
      <w:r w:rsidR="00AE26D1">
        <w:t xml:space="preserve">  In fact, the Ethics Office Director was granted a waiver of the mandatory retirement age, so that her pension contributions could vest, by the Secretary General’s Chief of Staff, Susana Malcorra.  Malcorra’s definitive role in a decision affecting the financial future of the Ethics Office Director further demonstrates the lack of independence of the Ethics Office in relation to UN senior management.</w:t>
      </w:r>
    </w:p>
    <w:p w:rsidR="006F1C41" w:rsidRDefault="00D96B7F">
      <w:r>
        <w:t>The recently-</w:t>
      </w:r>
      <w:r w:rsidR="00D65CD0">
        <w:t xml:space="preserve">adopted policy </w:t>
      </w:r>
      <w:r w:rsidR="00A77327">
        <w:t xml:space="preserve">(SGB/2017/2) </w:t>
      </w:r>
      <w:r w:rsidR="00D65CD0">
        <w:t>perpetuates the existing con</w:t>
      </w:r>
      <w:r w:rsidR="008A7D52">
        <w:t>flicted structure.  The Ethics O</w:t>
      </w:r>
      <w:r w:rsidR="00D65CD0">
        <w:t xml:space="preserve">ffice remains authorized to determine </w:t>
      </w:r>
      <w:r w:rsidR="008A7D52">
        <w:t xml:space="preserve">only whether, in its assessment, </w:t>
      </w:r>
      <w:r w:rsidR="00D65CD0">
        <w:t xml:space="preserve">retaliation has occurred and </w:t>
      </w:r>
      <w:r w:rsidR="00A77327">
        <w:t xml:space="preserve">to </w:t>
      </w:r>
      <w:r w:rsidR="00D65CD0">
        <w:t>trans</w:t>
      </w:r>
      <w:r>
        <w:t>m</w:t>
      </w:r>
      <w:r w:rsidR="00D65CD0">
        <w:t xml:space="preserve">it a recommendation for resolution of </w:t>
      </w:r>
      <w:r w:rsidR="008A7D52">
        <w:t xml:space="preserve">such </w:t>
      </w:r>
      <w:r w:rsidR="00D65CD0">
        <w:t xml:space="preserve">a dispute to the Secretary General.  Despite, therefore, the lack of structural independence at the Ethics Office of the Secretariat, this office is the </w:t>
      </w:r>
      <w:r w:rsidR="00D65CD0">
        <w:lastRenderedPageBreak/>
        <w:t xml:space="preserve">arbiter of retaliation complaints.  Such a structure is not compliant with best-practice whistleblower protections, which require access for whistleblowers alleging retaliation to an independent decision-maker.  </w:t>
      </w:r>
    </w:p>
    <w:p w:rsidR="006F1C41" w:rsidRDefault="006F1C41">
      <w:r>
        <w:t xml:space="preserve">In short, cases adjudicated </w:t>
      </w:r>
      <w:r w:rsidR="00BD5404">
        <w:t xml:space="preserve">independently </w:t>
      </w:r>
      <w:r>
        <w:t xml:space="preserve">and exposed in </w:t>
      </w:r>
      <w:r w:rsidR="00BD5404">
        <w:t>the</w:t>
      </w:r>
      <w:r>
        <w:t xml:space="preserve"> media have demonstrated the lack of professionalism and illicit cooperation in putatively independent United Nations oversight offices in 2014, 2015, and 2016, yet the Secretariat has taken no </w:t>
      </w:r>
      <w:r w:rsidR="00690C2D">
        <w:t xml:space="preserve">effective </w:t>
      </w:r>
      <w:r>
        <w:t>steps to rectify the situation.</w:t>
      </w:r>
      <w:r w:rsidR="00BD5404">
        <w:t xml:space="preserve">  Nor has the US Secretary of State taken effective measures to implement US law in this regard.</w:t>
      </w:r>
      <w:r>
        <w:t xml:space="preserve">  </w:t>
      </w:r>
    </w:p>
    <w:p w:rsidR="00FF4C70" w:rsidRDefault="00FF4C70" w:rsidP="00FF4C70">
      <w:pPr>
        <w:spacing w:after="0" w:line="240" w:lineRule="auto"/>
      </w:pPr>
      <w:r>
        <w:t>No</w:t>
      </w:r>
      <w:r w:rsidR="00D96B7F">
        <w:t xml:space="preserve">r does the United Nations Secretariat or any </w:t>
      </w:r>
      <w:r>
        <w:t>United Nations agency prov</w:t>
      </w:r>
      <w:r w:rsidR="00D96B7F">
        <w:t>ide access to external arbitration</w:t>
      </w:r>
      <w:r w:rsidR="006F14DD">
        <w:t xml:space="preserve"> for whistleblowers</w:t>
      </w:r>
      <w:r w:rsidR="00D96B7F">
        <w:t xml:space="preserve">.  As acknowledged in correspondence from the Executive Office of the Secretary General to </w:t>
      </w:r>
      <w:r w:rsidR="006F14DD">
        <w:t xml:space="preserve">a </w:t>
      </w:r>
      <w:r w:rsidR="00D96B7F">
        <w:t>GAP client, providing access to external arbitration would require a resolution of the UN General Assembly.</w:t>
      </w:r>
      <w:r w:rsidR="00D96B7F">
        <w:rPr>
          <w:rStyle w:val="FootnoteReference"/>
        </w:rPr>
        <w:footnoteReference w:id="7"/>
      </w:r>
      <w:r w:rsidR="00D96B7F">
        <w:t xml:space="preserve">  </w:t>
      </w:r>
      <w:r w:rsidR="006F14DD">
        <w:t xml:space="preserve">Despite the fact that US law requires the Secretary of State to certify that organizations covered by the Consolidated Appropriations Act provide such access as a condition of full disbursement of the annual US contribution to each one, </w:t>
      </w:r>
      <w:r>
        <w:t xml:space="preserve">the Secretary of State’s report </w:t>
      </w:r>
      <w:r w:rsidR="00D96B7F">
        <w:t xml:space="preserve">for the current year </w:t>
      </w:r>
      <w:r>
        <w:t xml:space="preserve">is silent on this point, as it has been </w:t>
      </w:r>
      <w:r w:rsidR="000C076C">
        <w:t xml:space="preserve">in past </w:t>
      </w:r>
      <w:r>
        <w:t>years.</w:t>
      </w:r>
    </w:p>
    <w:p w:rsidR="00FF4C70" w:rsidRDefault="00FF4C70" w:rsidP="00FF4C70">
      <w:pPr>
        <w:spacing w:after="0" w:line="240" w:lineRule="auto"/>
      </w:pPr>
    </w:p>
    <w:p w:rsidR="008A7D52" w:rsidRDefault="008A7D52" w:rsidP="008A7D52">
      <w:pPr>
        <w:spacing w:after="0" w:line="240" w:lineRule="auto"/>
      </w:pPr>
      <w:r>
        <w:t>The report of the Secretary of State is clearly misleading as a response to Sec. 7048 (1) (B) (iv, v).  Whistleblowers at the UN Secretariat lack access to:</w:t>
      </w:r>
    </w:p>
    <w:p w:rsidR="008A7D52" w:rsidRDefault="008A7D52" w:rsidP="008A7D52">
      <w:pPr>
        <w:pStyle w:val="ListParagraph"/>
        <w:numPr>
          <w:ilvl w:val="0"/>
          <w:numId w:val="1"/>
        </w:numPr>
        <w:spacing w:after="0" w:line="240" w:lineRule="auto"/>
      </w:pPr>
      <w:r>
        <w:t xml:space="preserve">an independent adjudicative body, </w:t>
      </w:r>
    </w:p>
    <w:p w:rsidR="008A7D52" w:rsidRDefault="008A7D52" w:rsidP="008A7D52">
      <w:pPr>
        <w:pStyle w:val="ListParagraph"/>
        <w:numPr>
          <w:ilvl w:val="0"/>
          <w:numId w:val="1"/>
        </w:numPr>
        <w:spacing w:after="0" w:line="240" w:lineRule="auto"/>
      </w:pPr>
      <w:r>
        <w:t xml:space="preserve">external arbitration, and </w:t>
      </w:r>
    </w:p>
    <w:p w:rsidR="008A7D52" w:rsidRDefault="008A7D52" w:rsidP="008A7D52">
      <w:pPr>
        <w:pStyle w:val="ListParagraph"/>
        <w:numPr>
          <w:ilvl w:val="0"/>
          <w:numId w:val="1"/>
        </w:numPr>
        <w:spacing w:after="0" w:line="240" w:lineRule="auto"/>
      </w:pPr>
      <w:r>
        <w:t xml:space="preserve">results that eliminate the effects of retaliation.  </w:t>
      </w:r>
    </w:p>
    <w:p w:rsidR="008A7D52" w:rsidRDefault="008A7D52" w:rsidP="00FF4C70">
      <w:pPr>
        <w:spacing w:after="0" w:line="240" w:lineRule="auto"/>
      </w:pPr>
    </w:p>
    <w:p w:rsidR="00FF4C70" w:rsidRDefault="000C50DE" w:rsidP="00FF4C70">
      <w:pPr>
        <w:spacing w:after="0" w:line="240" w:lineRule="auto"/>
      </w:pPr>
      <w:r>
        <w:t xml:space="preserve">Finally, GAP asserts that the report in question is capricious. </w:t>
      </w:r>
      <w:r w:rsidR="00FF4C70">
        <w:t xml:space="preserve">As </w:t>
      </w:r>
      <w:r w:rsidR="003A1B82">
        <w:t>reported in previous comments</w:t>
      </w:r>
      <w:r w:rsidR="00BD5404">
        <w:t>,</w:t>
      </w:r>
      <w:r w:rsidR="003A1B82">
        <w:t xml:space="preserve"> relevan</w:t>
      </w:r>
      <w:r w:rsidR="000C076C">
        <w:t>t US law does not</w:t>
      </w:r>
      <w:r w:rsidR="00BD5404">
        <w:t xml:space="preserve"> require accounts </w:t>
      </w:r>
      <w:r w:rsidR="00690C2D">
        <w:t>of e</w:t>
      </w:r>
      <w:r w:rsidR="003A1B82">
        <w:t xml:space="preserve">thics </w:t>
      </w:r>
      <w:r w:rsidR="000C076C">
        <w:t>t</w:t>
      </w:r>
      <w:r w:rsidR="003A1B82">
        <w:t xml:space="preserve">raining, mandates and outreach, yet the Secretary of State reports extensively on these activities.  The report also tends of focus on reviews in progress and anticipated amendments to existing policies.   The law, however, focuses on policies </w:t>
      </w:r>
      <w:r w:rsidR="0044504B">
        <w:t>applied</w:t>
      </w:r>
      <w:r w:rsidR="003A1B82">
        <w:t xml:space="preserve"> and practices implemented; it does not require future ame</w:t>
      </w:r>
      <w:r w:rsidR="00D30A79">
        <w:t>ndments to policies or anticipate additional</w:t>
      </w:r>
      <w:r w:rsidR="003A1B82">
        <w:t xml:space="preserve"> reforms.</w:t>
      </w:r>
    </w:p>
    <w:p w:rsidR="00690C2D" w:rsidRDefault="00690C2D" w:rsidP="00FF4C70">
      <w:pPr>
        <w:spacing w:after="0" w:line="240" w:lineRule="auto"/>
      </w:pPr>
    </w:p>
    <w:p w:rsidR="003A1B82" w:rsidRDefault="00690C2D" w:rsidP="00FF4C70">
      <w:pPr>
        <w:spacing w:after="0" w:line="240" w:lineRule="auto"/>
      </w:pPr>
      <w:r>
        <w:t xml:space="preserve">The circumstances at the Secretariat and the content of the Secretary of State’s report </w:t>
      </w:r>
      <w:r w:rsidR="008A7D52">
        <w:t xml:space="preserve">represent a clear failure to enforce the law.  </w:t>
      </w:r>
      <w:r w:rsidR="003A1B82">
        <w:t xml:space="preserve">It has been 12 years since the UN Secretariat first adopted SGB/2005/21 and established the UN Ethics Office.  The internal justice system was reformed in 2009 in compliance with the </w:t>
      </w:r>
      <w:r w:rsidR="003A1B82" w:rsidRPr="003A1B82">
        <w:t>“Report of the Redesign Panel on the United Nations Syste</w:t>
      </w:r>
      <w:r w:rsidR="003A1B82">
        <w:t>m of Administration of Justice”</w:t>
      </w:r>
      <w:r w:rsidR="003A1B82" w:rsidRPr="003A1B82">
        <w:t xml:space="preserve"> (A/61/205, referenced in GA Resolution 61/261).</w:t>
      </w:r>
      <w:r w:rsidR="001041A2">
        <w:t xml:space="preserve">  It is now seven months since the adoption of SGB/2017/2, and the working group studying the</w:t>
      </w:r>
      <w:r w:rsidR="008A7D52">
        <w:t xml:space="preserve"> new policy has yet to present its</w:t>
      </w:r>
      <w:r w:rsidR="001041A2">
        <w:t xml:space="preserve"> draft</w:t>
      </w:r>
      <w:r w:rsidR="008A7D52">
        <w:t xml:space="preserve"> amendments</w:t>
      </w:r>
      <w:r w:rsidR="001041A2">
        <w:t>.  The working process is not transparent, and civil society organizations such as GAP have been denied access to any account of the proceedings.</w:t>
      </w:r>
    </w:p>
    <w:p w:rsidR="003A1B82" w:rsidRDefault="003A1B82" w:rsidP="00FF4C70">
      <w:pPr>
        <w:spacing w:after="0" w:line="240" w:lineRule="auto"/>
      </w:pPr>
    </w:p>
    <w:p w:rsidR="003A1B82" w:rsidRPr="00FF4C70" w:rsidRDefault="00100B44" w:rsidP="00FF4C70">
      <w:pPr>
        <w:spacing w:after="0" w:line="240" w:lineRule="auto"/>
      </w:pPr>
      <w:r>
        <w:t xml:space="preserve"> </w:t>
      </w:r>
    </w:p>
    <w:sectPr w:rsidR="003A1B82" w:rsidRPr="00FF4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EE" w:rsidRDefault="00C035EE" w:rsidP="00446375">
      <w:pPr>
        <w:spacing w:after="0" w:line="240" w:lineRule="auto"/>
      </w:pPr>
      <w:r>
        <w:separator/>
      </w:r>
    </w:p>
  </w:endnote>
  <w:endnote w:type="continuationSeparator" w:id="0">
    <w:p w:rsidR="00C035EE" w:rsidRDefault="00C035EE" w:rsidP="0044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32005"/>
      <w:docPartObj>
        <w:docPartGallery w:val="Page Numbers (Bottom of Page)"/>
        <w:docPartUnique/>
      </w:docPartObj>
    </w:sdtPr>
    <w:sdtEndPr>
      <w:rPr>
        <w:noProof/>
      </w:rPr>
    </w:sdtEndPr>
    <w:sdtContent>
      <w:p w:rsidR="003A1B82" w:rsidRDefault="003A1B82">
        <w:pPr>
          <w:pStyle w:val="Footer"/>
          <w:jc w:val="right"/>
        </w:pPr>
        <w:r>
          <w:fldChar w:fldCharType="begin"/>
        </w:r>
        <w:r>
          <w:instrText xml:space="preserve"> PAGE   \* MERGEFORMAT </w:instrText>
        </w:r>
        <w:r>
          <w:fldChar w:fldCharType="separate"/>
        </w:r>
        <w:r w:rsidR="0031315A">
          <w:rPr>
            <w:noProof/>
          </w:rPr>
          <w:t>1</w:t>
        </w:r>
        <w:r>
          <w:rPr>
            <w:noProof/>
          </w:rPr>
          <w:fldChar w:fldCharType="end"/>
        </w:r>
      </w:p>
    </w:sdtContent>
  </w:sdt>
  <w:p w:rsidR="003A1B82" w:rsidRDefault="003A1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EE" w:rsidRDefault="00C035EE" w:rsidP="00446375">
      <w:pPr>
        <w:spacing w:after="0" w:line="240" w:lineRule="auto"/>
      </w:pPr>
      <w:r>
        <w:separator/>
      </w:r>
    </w:p>
  </w:footnote>
  <w:footnote w:type="continuationSeparator" w:id="0">
    <w:p w:rsidR="00C035EE" w:rsidRDefault="00C035EE" w:rsidP="00446375">
      <w:pPr>
        <w:spacing w:after="0" w:line="240" w:lineRule="auto"/>
      </w:pPr>
      <w:r>
        <w:continuationSeparator/>
      </w:r>
    </w:p>
  </w:footnote>
  <w:footnote w:id="1">
    <w:p w:rsidR="00446375" w:rsidRDefault="00446375" w:rsidP="00446375">
      <w:pPr>
        <w:pStyle w:val="FootnoteText"/>
      </w:pPr>
      <w:r>
        <w:rPr>
          <w:rStyle w:val="FootnoteReference"/>
        </w:rPr>
        <w:footnoteRef/>
      </w:r>
      <w:r>
        <w:t xml:space="preserve"> Response by the Government Accountability Project to the State Department’s Findings that the Internal Justice System of the United Nations Adequately Protects Whistleblowers, Thad Guyer, Esq. September, 2015.</w:t>
      </w:r>
    </w:p>
  </w:footnote>
  <w:footnote w:id="2">
    <w:p w:rsidR="00DA2612" w:rsidRDefault="00DA2612">
      <w:pPr>
        <w:pStyle w:val="FootnoteText"/>
      </w:pPr>
      <w:r>
        <w:rPr>
          <w:rStyle w:val="FootnoteReference"/>
        </w:rPr>
        <w:footnoteRef/>
      </w:r>
      <w:r>
        <w:t xml:space="preserve"> It is, in fact, this specific limitation that exempts Ethics Office determinations from review by the UN formal judicial system. Because the determinations are only recommendations, they cannot be disputed in the justice system.</w:t>
      </w:r>
    </w:p>
  </w:footnote>
  <w:footnote w:id="3">
    <w:p w:rsidR="007A2E5C" w:rsidRDefault="007A2E5C">
      <w:pPr>
        <w:pStyle w:val="FootnoteText"/>
      </w:pPr>
      <w:r>
        <w:rPr>
          <w:rStyle w:val="FootnoteReference"/>
        </w:rPr>
        <w:footnoteRef/>
      </w:r>
      <w:r>
        <w:t xml:space="preserve"> Although we cannot be sure which SGB was applied to which cases, as the referenced Ethics Office report covers only part of the current calendar year, we assume that the 6 cases referred for investigation could be reviewed by the UN judicial system because SGB/2017/2 abolished SGB/2005/21, making all cases recently decided subject only to the provisions in the new policy (SGB/2017/2).</w:t>
      </w:r>
    </w:p>
  </w:footnote>
  <w:footnote w:id="4">
    <w:p w:rsidR="006163B8" w:rsidRDefault="006163B8">
      <w:pPr>
        <w:pStyle w:val="FootnoteText"/>
      </w:pPr>
      <w:r>
        <w:rPr>
          <w:rStyle w:val="FootnoteReference"/>
        </w:rPr>
        <w:footnoteRef/>
      </w:r>
      <w:r>
        <w:t xml:space="preserve"> For a full discussion of the role of the UN Tribunal system in adjudicating allegations of reprisal and the logic underl</w:t>
      </w:r>
      <w:r w:rsidR="00C31B4F">
        <w:t>ying its reform in 2009, see GAP</w:t>
      </w:r>
      <w:r>
        <w:t>‘s comments for 2015, referenced above.</w:t>
      </w:r>
    </w:p>
  </w:footnote>
  <w:footnote w:id="5">
    <w:p w:rsidR="00C31B4F" w:rsidRDefault="00C31B4F">
      <w:pPr>
        <w:pStyle w:val="FootnoteText"/>
      </w:pPr>
      <w:r>
        <w:rPr>
          <w:rStyle w:val="FootnoteReference"/>
        </w:rPr>
        <w:footnoteRef/>
      </w:r>
      <w:r>
        <w:t xml:space="preserve"> </w:t>
      </w:r>
      <w:hyperlink w:history="1">
        <w:r w:rsidR="00D96B7F" w:rsidRPr="003F5515">
          <w:rPr>
            <w:rStyle w:val="Hyperlink"/>
          </w:rPr>
          <w:t>www.whistleblower.org; “International Best Practices,</w:t>
        </w:r>
      </w:hyperlink>
      <w:r w:rsidR="00D96B7F">
        <w:t xml:space="preserve"> retrieved August 28, 2017.</w:t>
      </w:r>
    </w:p>
  </w:footnote>
  <w:footnote w:id="6">
    <w:p w:rsidR="006F1C41" w:rsidRDefault="006F1C41">
      <w:pPr>
        <w:pStyle w:val="FootnoteText"/>
      </w:pPr>
      <w:r>
        <w:rPr>
          <w:rStyle w:val="FootnoteReference"/>
        </w:rPr>
        <w:footnoteRef/>
      </w:r>
      <w:r>
        <w:t xml:space="preserve"> Taking Action on Sexual Exploitation and Abuse by Peacekeepers Report of an Independent Review on Sexual Exploitation and Abuse by International Peacekeeping Forces in the Central African Republic. Marie Deschamps, Hassan B. Jallow, Yasmin Sooka. 17 December 2015.</w:t>
      </w:r>
    </w:p>
  </w:footnote>
  <w:footnote w:id="7">
    <w:p w:rsidR="00D96B7F" w:rsidRDefault="00D96B7F" w:rsidP="000C50DE">
      <w:pPr>
        <w:pStyle w:val="FootnoteText"/>
      </w:pPr>
      <w:r>
        <w:rPr>
          <w:rStyle w:val="FootnoteReference"/>
        </w:rPr>
        <w:footnoteRef/>
      </w:r>
      <w:r>
        <w:t xml:space="preserve"> </w:t>
      </w:r>
      <w:r w:rsidR="000C50DE">
        <w:t xml:space="preserve">On April 30, 2015, Patrick Carey, the Director of the Office of the Chef de Cabinet wrote to an attorney for Miranda Brown, a witness in a WIPO retaliation complaint (who has herself been subjected to retaliation) and in a whistleblower dispute at the OHCHR: “Since the System, as established by the General Assembly does not provide for recourse to arbitration for the resolution of claims of United Nations staff members, no legal basis exists for submitting your client’s claims for external arbitration…If the Secretary General were to accept your proposal for external arbitration, he would be acting </w:t>
      </w:r>
      <w:r w:rsidR="000C50DE" w:rsidRPr="000C50DE">
        <w:rPr>
          <w:i/>
        </w:rPr>
        <w:t>ultra vires</w:t>
      </w:r>
      <w:r w:rsidR="000C50DE">
        <w:t xml:space="preserve"> and in contravention of the legal framework established by the General Assembly.”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1661"/>
    <w:multiLevelType w:val="hybridMultilevel"/>
    <w:tmpl w:val="58CA9D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D8"/>
    <w:rsid w:val="00007487"/>
    <w:rsid w:val="000614F6"/>
    <w:rsid w:val="000C076C"/>
    <w:rsid w:val="000C50DE"/>
    <w:rsid w:val="00100B44"/>
    <w:rsid w:val="001041A2"/>
    <w:rsid w:val="001430AD"/>
    <w:rsid w:val="002265F4"/>
    <w:rsid w:val="002743B5"/>
    <w:rsid w:val="002F37E0"/>
    <w:rsid w:val="0031315A"/>
    <w:rsid w:val="00320791"/>
    <w:rsid w:val="0032292A"/>
    <w:rsid w:val="003A1B82"/>
    <w:rsid w:val="0044504B"/>
    <w:rsid w:val="00446375"/>
    <w:rsid w:val="006163B8"/>
    <w:rsid w:val="0068196B"/>
    <w:rsid w:val="00690C2D"/>
    <w:rsid w:val="006F14DD"/>
    <w:rsid w:val="006F1C41"/>
    <w:rsid w:val="007A2E5C"/>
    <w:rsid w:val="008A1878"/>
    <w:rsid w:val="008A7D52"/>
    <w:rsid w:val="00A77327"/>
    <w:rsid w:val="00AE26D1"/>
    <w:rsid w:val="00B31E0D"/>
    <w:rsid w:val="00BD5404"/>
    <w:rsid w:val="00C035EE"/>
    <w:rsid w:val="00C31B4F"/>
    <w:rsid w:val="00C74A6E"/>
    <w:rsid w:val="00D30A79"/>
    <w:rsid w:val="00D65CD0"/>
    <w:rsid w:val="00D96B7F"/>
    <w:rsid w:val="00DA2612"/>
    <w:rsid w:val="00DB70D8"/>
    <w:rsid w:val="00E548DE"/>
    <w:rsid w:val="00ED6B0F"/>
    <w:rsid w:val="00F503D1"/>
    <w:rsid w:val="00F7368A"/>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8910-B48B-492F-89BD-C0DE36E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375"/>
    <w:rPr>
      <w:sz w:val="20"/>
      <w:szCs w:val="20"/>
    </w:rPr>
  </w:style>
  <w:style w:type="character" w:styleId="FootnoteReference">
    <w:name w:val="footnote reference"/>
    <w:basedOn w:val="DefaultParagraphFont"/>
    <w:uiPriority w:val="99"/>
    <w:semiHidden/>
    <w:unhideWhenUsed/>
    <w:rsid w:val="00446375"/>
    <w:rPr>
      <w:vertAlign w:val="superscript"/>
    </w:rPr>
  </w:style>
  <w:style w:type="paragraph" w:styleId="Header">
    <w:name w:val="header"/>
    <w:basedOn w:val="Normal"/>
    <w:link w:val="HeaderChar"/>
    <w:uiPriority w:val="99"/>
    <w:unhideWhenUsed/>
    <w:rsid w:val="003A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82"/>
  </w:style>
  <w:style w:type="paragraph" w:styleId="Footer">
    <w:name w:val="footer"/>
    <w:basedOn w:val="Normal"/>
    <w:link w:val="FooterChar"/>
    <w:uiPriority w:val="99"/>
    <w:unhideWhenUsed/>
    <w:rsid w:val="003A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82"/>
  </w:style>
  <w:style w:type="character" w:styleId="Hyperlink">
    <w:name w:val="Hyperlink"/>
    <w:basedOn w:val="DefaultParagraphFont"/>
    <w:uiPriority w:val="99"/>
    <w:unhideWhenUsed/>
    <w:rsid w:val="00D96B7F"/>
    <w:rPr>
      <w:color w:val="0563C1" w:themeColor="hyperlink"/>
      <w:u w:val="single"/>
    </w:rPr>
  </w:style>
  <w:style w:type="paragraph" w:styleId="ListParagraph">
    <w:name w:val="List Paragraph"/>
    <w:basedOn w:val="Normal"/>
    <w:uiPriority w:val="34"/>
    <w:qFormat/>
    <w:rsid w:val="008A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9AE5-5F72-4E82-8831-3770768E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Edwards</dc:creator>
  <cp:keywords/>
  <dc:description/>
  <cp:lastModifiedBy>Luke Drabyn</cp:lastModifiedBy>
  <cp:revision>2</cp:revision>
  <dcterms:created xsi:type="dcterms:W3CDTF">2017-09-19T19:15:00Z</dcterms:created>
  <dcterms:modified xsi:type="dcterms:W3CDTF">2017-09-19T19:15:00Z</dcterms:modified>
</cp:coreProperties>
</file>